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BF1D" w14:textId="3998743D" w:rsidR="00233AC8" w:rsidRPr="00233AC8" w:rsidRDefault="00233AC8" w:rsidP="00233AC8">
      <w:pPr>
        <w:spacing w:before="100" w:beforeAutospacing="1" w:after="100" w:afterAutospacing="1"/>
        <w:outlineLvl w:val="0"/>
        <w:rPr>
          <w:rFonts w:eastAsia="Times New Roman" w:cs="Arial"/>
          <w:b/>
          <w:bCs/>
          <w:kern w:val="36"/>
          <w:sz w:val="32"/>
          <w:szCs w:val="32"/>
          <w:lang w:eastAsia="de-DE"/>
          <w14:ligatures w14:val="none"/>
        </w:rPr>
      </w:pPr>
      <w:r w:rsidRPr="00233AC8">
        <w:rPr>
          <w:rFonts w:eastAsia="Times New Roman" w:cs="Arial"/>
          <w:b/>
          <w:bCs/>
          <w:kern w:val="36"/>
          <w:sz w:val="32"/>
          <w:szCs w:val="32"/>
          <w:lang w:eastAsia="de-DE"/>
          <w14:ligatures w14:val="none"/>
        </w:rPr>
        <w:t>Das Chancen-Aufenthaltsrecht gem. § 104c AufenthG</w:t>
      </w:r>
    </w:p>
    <w:p w14:paraId="001A53F9" w14:textId="177BDC36" w:rsidR="00233AC8" w:rsidRPr="00233AC8" w:rsidRDefault="00233AC8" w:rsidP="00233AC8">
      <w:pPr>
        <w:spacing w:before="100" w:beforeAutospacing="1" w:after="100" w:afterAutospacing="1"/>
        <w:outlineLvl w:val="0"/>
        <w:rPr>
          <w:rFonts w:eastAsia="Times New Roman" w:cs="Arial"/>
          <w:b/>
          <w:bCs/>
          <w:kern w:val="36"/>
          <w:lang w:eastAsia="de-DE"/>
          <w14:ligatures w14:val="none"/>
        </w:rPr>
      </w:pPr>
      <w:r w:rsidRPr="00233AC8">
        <w:rPr>
          <w:rFonts w:eastAsia="Times New Roman" w:cs="Arial"/>
          <w:b/>
          <w:bCs/>
          <w:kern w:val="36"/>
          <w:lang w:eastAsia="de-DE"/>
          <w14:ligatures w14:val="none"/>
        </w:rPr>
        <w:t>Das neue Chancen-Aufenthalts-Recht nach § 104c AufenthG soll Menschen mit einer Duldung die Möglichkeit geben, eine Aufenthaltserlaubnis zu bekommen, wenn sie am 31.10.2022 seit mindestens 5 Jahren bereits in Deutschland sind.</w:t>
      </w:r>
    </w:p>
    <w:p w14:paraId="0D14216C" w14:textId="6424D41F" w:rsidR="00233AC8" w:rsidRPr="00233AC8" w:rsidRDefault="00233AC8" w:rsidP="00233AC8">
      <w:pPr>
        <w:spacing w:before="100" w:beforeAutospacing="1" w:after="100" w:afterAutospacing="1"/>
        <w:rPr>
          <w:rFonts w:eastAsia="Times New Roman" w:cs="Arial"/>
          <w:kern w:val="0"/>
          <w:lang w:eastAsia="de-DE"/>
          <w14:ligatures w14:val="none"/>
        </w:rPr>
      </w:pPr>
      <w:r w:rsidRPr="00233AC8">
        <w:rPr>
          <w:rFonts w:eastAsia="Times New Roman" w:cs="Arial"/>
          <w:kern w:val="0"/>
          <w:lang w:eastAsia="de-DE"/>
          <w14:ligatures w14:val="none"/>
        </w:rPr>
        <w:t>Das Gesetz ist seit Ende 2022 in Kraft. Anträge können also seit 01.01.2023 bundesweit gestellt werden.</w:t>
      </w:r>
    </w:p>
    <w:p w14:paraId="5852D4EC" w14:textId="77777777" w:rsidR="00233AC8" w:rsidRPr="00233AC8" w:rsidRDefault="00233AC8" w:rsidP="00233AC8">
      <w:pPr>
        <w:spacing w:before="100" w:beforeAutospacing="1" w:after="100" w:afterAutospacing="1"/>
        <w:rPr>
          <w:rFonts w:eastAsia="Times New Roman" w:cs="Arial"/>
          <w:kern w:val="0"/>
          <w:lang w:eastAsia="de-DE"/>
          <w14:ligatures w14:val="none"/>
        </w:rPr>
      </w:pPr>
      <w:r w:rsidRPr="00233AC8">
        <w:rPr>
          <w:rFonts w:eastAsia="Times New Roman" w:cs="Arial"/>
          <w:kern w:val="0"/>
          <w:lang w:eastAsia="de-DE"/>
          <w14:ligatures w14:val="none"/>
        </w:rPr>
        <w:t>Wenn Menschen noch nicht die jeweiligen Voraussetzungen für die Erteilung einer Aufenthaltserlaubnis nach § 25a oder § 25b erfüllen, soll ihnen über das Chancen-Aufenthaltsrecht bereits für maximal 18 Monate eine Aufenthaltserlaubnis erteilt werden, die dazu dient, in diesen max. 18 Monaten die jeweiligen Voraussetzungen für eine Aufenthaltserlaubnis nach einem der beiden §§ erfüllen zu können. </w:t>
      </w:r>
    </w:p>
    <w:p w14:paraId="7CBF3BC9" w14:textId="4BA2D2FA" w:rsidR="00233AC8" w:rsidRPr="00233AC8" w:rsidRDefault="00233AC8" w:rsidP="00233AC8">
      <w:pPr>
        <w:spacing w:before="100" w:beforeAutospacing="1" w:after="100" w:afterAutospacing="1"/>
        <w:rPr>
          <w:rFonts w:eastAsia="Times New Roman" w:cs="Arial"/>
          <w:kern w:val="0"/>
          <w:lang w:eastAsia="de-DE"/>
          <w14:ligatures w14:val="none"/>
        </w:rPr>
      </w:pPr>
      <w:r w:rsidRPr="00233AC8">
        <w:rPr>
          <w:rFonts w:eastAsia="Times New Roman" w:cs="Arial"/>
          <w:kern w:val="0"/>
          <w:lang w:eastAsia="de-DE"/>
          <w14:ligatures w14:val="none"/>
        </w:rPr>
        <w:t xml:space="preserve">Deshalb wird bei der Erteilung auf sonst wesentliche Voraussetzungen wie die Lebensunterhaltssicherung durch eigenes Einkommen, der Besitz eines Passes oder die Klärung der Identität </w:t>
      </w:r>
      <w:r w:rsidR="00145CFE">
        <w:rPr>
          <w:rFonts w:eastAsia="Times New Roman" w:cs="Arial"/>
          <w:kern w:val="0"/>
          <w:lang w:eastAsia="de-DE"/>
          <w14:ligatures w14:val="none"/>
        </w:rPr>
        <w:t xml:space="preserve">zunächst </w:t>
      </w:r>
      <w:r w:rsidRPr="00233AC8">
        <w:rPr>
          <w:rFonts w:eastAsia="Times New Roman" w:cs="Arial"/>
          <w:kern w:val="0"/>
          <w:lang w:eastAsia="de-DE"/>
          <w14:ligatures w14:val="none"/>
        </w:rPr>
        <w:t>verzichtet.</w:t>
      </w:r>
    </w:p>
    <w:p w14:paraId="4F658BAC" w14:textId="6C324BFA" w:rsidR="00233AC8" w:rsidRPr="00233AC8" w:rsidRDefault="00233AC8" w:rsidP="00233AC8">
      <w:pPr>
        <w:spacing w:before="100" w:beforeAutospacing="1" w:after="100" w:afterAutospacing="1"/>
        <w:rPr>
          <w:rFonts w:eastAsia="Times New Roman" w:cs="Arial"/>
          <w:kern w:val="0"/>
          <w:lang w:eastAsia="de-DE"/>
          <w14:ligatures w14:val="none"/>
        </w:rPr>
      </w:pPr>
      <w:r w:rsidRPr="00233AC8">
        <w:rPr>
          <w:rFonts w:eastAsia="Times New Roman" w:cs="Arial"/>
          <w:kern w:val="0"/>
          <w:lang w:eastAsia="de-DE"/>
          <w14:ligatures w14:val="none"/>
        </w:rPr>
        <w:t>Die Erteilung dieses Chancen-Aufenthaltes soll gerade dazu genutzt werden, in diesem Zeitraum genau diese Voraussetzungen zu erfüllen.</w:t>
      </w:r>
      <w:r w:rsidR="00145CFE">
        <w:rPr>
          <w:rFonts w:eastAsia="Times New Roman" w:cs="Arial"/>
          <w:kern w:val="0"/>
          <w:lang w:eastAsia="de-DE"/>
          <w14:ligatures w14:val="none"/>
        </w:rPr>
        <w:t xml:space="preserve"> Sie müssen daher erst am Ende der 18-Monats-Frist erfüllt sein – dann allerdings ohne Ausnahme.</w:t>
      </w:r>
    </w:p>
    <w:p w14:paraId="05AC36DB" w14:textId="77777777" w:rsidR="00233AC8" w:rsidRPr="00233AC8" w:rsidRDefault="00233AC8" w:rsidP="00233AC8">
      <w:pPr>
        <w:spacing w:before="100" w:beforeAutospacing="1" w:after="100" w:afterAutospacing="1"/>
        <w:outlineLvl w:val="1"/>
        <w:rPr>
          <w:rFonts w:eastAsia="Times New Roman" w:cs="Arial"/>
          <w:b/>
          <w:bCs/>
          <w:kern w:val="0"/>
          <w:lang w:eastAsia="de-DE"/>
          <w14:ligatures w14:val="none"/>
        </w:rPr>
      </w:pPr>
      <w:r w:rsidRPr="00233AC8">
        <w:rPr>
          <w:rFonts w:eastAsia="Times New Roman" w:cs="Arial"/>
          <w:b/>
          <w:bCs/>
          <w:kern w:val="0"/>
          <w:lang w:eastAsia="de-DE"/>
          <w14:ligatures w14:val="none"/>
        </w:rPr>
        <w:t>Genereller Überblick</w:t>
      </w:r>
    </w:p>
    <w:p w14:paraId="3AC11C37" w14:textId="046D0FFB" w:rsidR="00233AC8" w:rsidRPr="00233AC8" w:rsidRDefault="00233AC8" w:rsidP="00233AC8">
      <w:pPr>
        <w:numPr>
          <w:ilvl w:val="0"/>
          <w:numId w:val="1"/>
        </w:numPr>
        <w:spacing w:before="100" w:beforeAutospacing="1" w:after="100" w:afterAutospacing="1"/>
        <w:rPr>
          <w:rFonts w:eastAsia="Times New Roman" w:cs="Arial"/>
          <w:kern w:val="0"/>
          <w:lang w:eastAsia="de-DE"/>
          <w14:ligatures w14:val="none"/>
        </w:rPr>
      </w:pPr>
      <w:r w:rsidRPr="00233AC8">
        <w:rPr>
          <w:rFonts w:eastAsia="Times New Roman" w:cs="Arial"/>
          <w:kern w:val="0"/>
          <w:lang w:eastAsia="de-DE"/>
          <w14:ligatures w14:val="none"/>
        </w:rPr>
        <w:t xml:space="preserve">Die Aufenthaltserlaubnis nach § 104c AufenthG wird grundsätzlich </w:t>
      </w:r>
      <w:r w:rsidRPr="00233AC8">
        <w:rPr>
          <w:rFonts w:eastAsia="Times New Roman" w:cs="Arial"/>
          <w:b/>
          <w:bCs/>
          <w:kern w:val="0"/>
          <w:lang w:eastAsia="de-DE"/>
          <w14:ligatures w14:val="none"/>
        </w:rPr>
        <w:t>immer</w:t>
      </w:r>
      <w:r w:rsidRPr="00233AC8">
        <w:rPr>
          <w:rFonts w:eastAsia="Times New Roman" w:cs="Arial"/>
          <w:kern w:val="0"/>
          <w:lang w:eastAsia="de-DE"/>
          <w14:ligatures w14:val="none"/>
        </w:rPr>
        <w:t xml:space="preserve"> für </w:t>
      </w:r>
      <w:r w:rsidRPr="00233AC8">
        <w:rPr>
          <w:rFonts w:eastAsia="Times New Roman" w:cs="Arial"/>
          <w:b/>
          <w:bCs/>
          <w:kern w:val="0"/>
          <w:lang w:eastAsia="de-DE"/>
          <w14:ligatures w14:val="none"/>
        </w:rPr>
        <w:t>18 Monate</w:t>
      </w:r>
      <w:r w:rsidRPr="00233AC8">
        <w:rPr>
          <w:rFonts w:eastAsia="Times New Roman" w:cs="Arial"/>
          <w:kern w:val="0"/>
          <w:lang w:eastAsia="de-DE"/>
          <w14:ligatures w14:val="none"/>
        </w:rPr>
        <w:t xml:space="preserve"> erteilt. Sie ist nicht verlängerbar</w:t>
      </w:r>
      <w:r w:rsidR="00145CFE">
        <w:rPr>
          <w:rFonts w:eastAsia="Times New Roman" w:cs="Arial"/>
          <w:kern w:val="0"/>
          <w:lang w:eastAsia="de-DE"/>
          <w14:ligatures w14:val="none"/>
        </w:rPr>
        <w:t>!</w:t>
      </w:r>
      <w:r w:rsidRPr="00233AC8">
        <w:rPr>
          <w:rFonts w:eastAsia="Times New Roman" w:cs="Arial"/>
          <w:kern w:val="0"/>
          <w:lang w:eastAsia="de-DE"/>
          <w14:ligatures w14:val="none"/>
        </w:rPr>
        <w:t xml:space="preserve"> (§104c Abs 3 S. 3)</w:t>
      </w:r>
    </w:p>
    <w:p w14:paraId="1D644DB6" w14:textId="2549B39A"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Während des Chancen-Aufenthalts kann grundsätzlich nur eine Aufenthaltserlaubnis nach § 25a </w:t>
      </w:r>
      <w:r>
        <w:rPr>
          <w:rFonts w:eastAsia="Times New Roman" w:cs="Arial"/>
          <w:kern w:val="0"/>
          <w:lang w:eastAsia="de-DE"/>
          <w14:ligatures w14:val="none"/>
        </w:rPr>
        <w:t xml:space="preserve">(„nachhaltige Integration“) </w:t>
      </w:r>
      <w:r w:rsidRPr="00233AC8">
        <w:rPr>
          <w:rFonts w:eastAsia="Times New Roman" w:cs="Arial"/>
          <w:kern w:val="0"/>
          <w:lang w:eastAsia="de-DE"/>
          <w14:ligatures w14:val="none"/>
        </w:rPr>
        <w:t xml:space="preserve">oder § 25b </w:t>
      </w:r>
      <w:r>
        <w:rPr>
          <w:rFonts w:eastAsia="Times New Roman" w:cs="Arial"/>
          <w:kern w:val="0"/>
          <w:lang w:eastAsia="de-DE"/>
          <w14:ligatures w14:val="none"/>
        </w:rPr>
        <w:t xml:space="preserve">(„besonders gut integrierte Jugendliche und junge Erwachsene von 14 – 26 Jahren“) </w:t>
      </w:r>
      <w:r w:rsidRPr="00233AC8">
        <w:rPr>
          <w:rFonts w:eastAsia="Times New Roman" w:cs="Arial"/>
          <w:kern w:val="0"/>
          <w:lang w:eastAsia="de-DE"/>
          <w14:ligatures w14:val="none"/>
        </w:rPr>
        <w:t>erteilt werden.</w:t>
      </w:r>
    </w:p>
    <w:p w14:paraId="2C060FE4"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Den Antrag auf diese Aufenthaltserlaubnis kann man nur dann stellen, wenn man im </w:t>
      </w:r>
      <w:r w:rsidRPr="00233AC8">
        <w:rPr>
          <w:rFonts w:eastAsia="Times New Roman" w:cs="Arial"/>
          <w:b/>
          <w:bCs/>
          <w:kern w:val="0"/>
          <w:lang w:eastAsia="de-DE"/>
          <w14:ligatures w14:val="none"/>
        </w:rPr>
        <w:t>Besitz einer Duldung</w:t>
      </w:r>
      <w:r w:rsidRPr="00233AC8">
        <w:rPr>
          <w:rFonts w:eastAsia="Times New Roman" w:cs="Arial"/>
          <w:kern w:val="0"/>
          <w:lang w:eastAsia="de-DE"/>
          <w14:ligatures w14:val="none"/>
        </w:rPr>
        <w:t xml:space="preserve"> ist oder hierauf einen Anspruch hat. (§104c Abs. 1 S. 1)</w:t>
      </w:r>
    </w:p>
    <w:p w14:paraId="7F9C7052"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Die </w:t>
      </w:r>
      <w:r w:rsidRPr="00233AC8">
        <w:rPr>
          <w:rFonts w:eastAsia="Times New Roman" w:cs="Arial"/>
          <w:b/>
          <w:bCs/>
          <w:kern w:val="0"/>
          <w:lang w:eastAsia="de-DE"/>
          <w14:ligatures w14:val="none"/>
        </w:rPr>
        <w:t>Erwerbstätigkeit</w:t>
      </w:r>
      <w:r w:rsidRPr="00233AC8">
        <w:rPr>
          <w:rFonts w:eastAsia="Times New Roman" w:cs="Arial"/>
          <w:kern w:val="0"/>
          <w:lang w:eastAsia="de-DE"/>
          <w14:ligatures w14:val="none"/>
        </w:rPr>
        <w:t xml:space="preserve"> ist grundsätzlich und immer </w:t>
      </w:r>
      <w:r w:rsidRPr="00233AC8">
        <w:rPr>
          <w:rFonts w:eastAsia="Times New Roman" w:cs="Arial"/>
          <w:b/>
          <w:bCs/>
          <w:kern w:val="0"/>
          <w:lang w:eastAsia="de-DE"/>
          <w14:ligatures w14:val="none"/>
        </w:rPr>
        <w:t>erlaubt</w:t>
      </w:r>
      <w:r w:rsidRPr="00233AC8">
        <w:rPr>
          <w:rFonts w:eastAsia="Times New Roman" w:cs="Arial"/>
          <w:kern w:val="0"/>
          <w:lang w:eastAsia="de-DE"/>
          <w14:ligatures w14:val="none"/>
        </w:rPr>
        <w:t>. (§ 4a Abs 1 S. 1)</w:t>
      </w:r>
    </w:p>
    <w:p w14:paraId="2F8DF978"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Ein </w:t>
      </w:r>
      <w:r w:rsidRPr="00233AC8">
        <w:rPr>
          <w:rFonts w:eastAsia="Times New Roman" w:cs="Arial"/>
          <w:b/>
          <w:bCs/>
          <w:kern w:val="0"/>
          <w:lang w:eastAsia="de-DE"/>
          <w14:ligatures w14:val="none"/>
        </w:rPr>
        <w:t>Familiennachzug</w:t>
      </w:r>
      <w:r w:rsidRPr="00233AC8">
        <w:rPr>
          <w:rFonts w:eastAsia="Times New Roman" w:cs="Arial"/>
          <w:kern w:val="0"/>
          <w:lang w:eastAsia="de-DE"/>
          <w14:ligatures w14:val="none"/>
        </w:rPr>
        <w:t xml:space="preserve"> über § 104c ist ausdrücklich </w:t>
      </w:r>
      <w:r w:rsidRPr="00233AC8">
        <w:rPr>
          <w:rFonts w:eastAsia="Times New Roman" w:cs="Arial"/>
          <w:b/>
          <w:bCs/>
          <w:kern w:val="0"/>
          <w:lang w:eastAsia="de-DE"/>
          <w14:ligatures w14:val="none"/>
        </w:rPr>
        <w:t>ausgeschlossen</w:t>
      </w:r>
      <w:r w:rsidRPr="00233AC8">
        <w:rPr>
          <w:rFonts w:eastAsia="Times New Roman" w:cs="Arial"/>
          <w:kern w:val="0"/>
          <w:lang w:eastAsia="de-DE"/>
          <w14:ligatures w14:val="none"/>
        </w:rPr>
        <w:t xml:space="preserve"> (§29 Abs 3 S. 3).</w:t>
      </w:r>
    </w:p>
    <w:p w14:paraId="74A837D9"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b/>
          <w:bCs/>
          <w:kern w:val="0"/>
          <w:lang w:eastAsia="de-DE"/>
          <w14:ligatures w14:val="none"/>
        </w:rPr>
        <w:t>Familienmitglieder</w:t>
      </w:r>
      <w:r w:rsidRPr="00233AC8">
        <w:rPr>
          <w:rFonts w:eastAsia="Times New Roman" w:cs="Arial"/>
          <w:kern w:val="0"/>
          <w:lang w:eastAsia="de-DE"/>
          <w14:ligatures w14:val="none"/>
        </w:rPr>
        <w:t xml:space="preserve"> im gleichen Haushalt können diese Aufenthaltserlaubnis ebenso bekommen. Hier gelten (mit Ausnahme des 5jährigen Aufenthaltes) die gleichen Bedingungen. (§104c Abs. 2)</w:t>
      </w:r>
    </w:p>
    <w:p w14:paraId="74737611"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Mit dieser Aufenthaltserlaubnis besteht Zugang zu </w:t>
      </w:r>
      <w:r w:rsidRPr="00233AC8">
        <w:rPr>
          <w:rFonts w:eastAsia="Times New Roman" w:cs="Arial"/>
          <w:b/>
          <w:bCs/>
          <w:kern w:val="0"/>
          <w:lang w:eastAsia="de-DE"/>
          <w14:ligatures w14:val="none"/>
        </w:rPr>
        <w:t>Leistungen nach SGB II</w:t>
      </w:r>
      <w:r w:rsidRPr="00233AC8">
        <w:rPr>
          <w:rFonts w:eastAsia="Times New Roman" w:cs="Arial"/>
          <w:kern w:val="0"/>
          <w:lang w:eastAsia="de-DE"/>
          <w14:ligatures w14:val="none"/>
        </w:rPr>
        <w:t xml:space="preserve"> bzw. </w:t>
      </w:r>
      <w:r w:rsidRPr="00233AC8">
        <w:rPr>
          <w:rFonts w:eastAsia="Times New Roman" w:cs="Arial"/>
          <w:b/>
          <w:bCs/>
          <w:kern w:val="0"/>
          <w:lang w:eastAsia="de-DE"/>
          <w14:ligatures w14:val="none"/>
        </w:rPr>
        <w:t>XII</w:t>
      </w:r>
      <w:r w:rsidRPr="00233AC8">
        <w:rPr>
          <w:rFonts w:eastAsia="Times New Roman" w:cs="Arial"/>
          <w:kern w:val="0"/>
          <w:lang w:eastAsia="de-DE"/>
          <w14:ligatures w14:val="none"/>
        </w:rPr>
        <w:t>. </w:t>
      </w:r>
    </w:p>
    <w:p w14:paraId="0C855C4C" w14:textId="77777777" w:rsidR="00233AC8" w:rsidRP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Ein Anspruch auf Zugang zum </w:t>
      </w:r>
      <w:r w:rsidRPr="00233AC8">
        <w:rPr>
          <w:rFonts w:eastAsia="Times New Roman" w:cs="Arial"/>
          <w:b/>
          <w:bCs/>
          <w:kern w:val="0"/>
          <w:lang w:eastAsia="de-DE"/>
          <w14:ligatures w14:val="none"/>
        </w:rPr>
        <w:t>Integrationskurs</w:t>
      </w:r>
      <w:r w:rsidRPr="00233AC8">
        <w:rPr>
          <w:rFonts w:eastAsia="Times New Roman" w:cs="Arial"/>
          <w:kern w:val="0"/>
          <w:lang w:eastAsia="de-DE"/>
          <w14:ligatures w14:val="none"/>
        </w:rPr>
        <w:t xml:space="preserve"> besteht hingegen nicht. Hier ist die Teilnahme nur im Rahmen verfügbarer Plätze möglich (§ 44 AufenthG)</w:t>
      </w:r>
    </w:p>
    <w:p w14:paraId="7332754C" w14:textId="312093AB" w:rsidR="00233AC8" w:rsidRDefault="00233AC8" w:rsidP="00886474">
      <w:pPr>
        <w:numPr>
          <w:ilvl w:val="0"/>
          <w:numId w:val="1"/>
        </w:numPr>
        <w:spacing w:before="120" w:after="100" w:afterAutospacing="1"/>
        <w:ind w:left="714" w:hanging="357"/>
        <w:rPr>
          <w:rFonts w:eastAsia="Times New Roman" w:cs="Arial"/>
          <w:kern w:val="0"/>
          <w:lang w:eastAsia="de-DE"/>
          <w14:ligatures w14:val="none"/>
        </w:rPr>
      </w:pPr>
      <w:r w:rsidRPr="00233AC8">
        <w:rPr>
          <w:rFonts w:eastAsia="Times New Roman" w:cs="Arial"/>
          <w:kern w:val="0"/>
          <w:lang w:eastAsia="de-DE"/>
          <w14:ligatures w14:val="none"/>
        </w:rPr>
        <w:t xml:space="preserve">Die Regelung ist </w:t>
      </w:r>
      <w:r w:rsidRPr="00233AC8">
        <w:rPr>
          <w:rFonts w:eastAsia="Times New Roman" w:cs="Arial"/>
          <w:b/>
          <w:bCs/>
          <w:kern w:val="0"/>
          <w:lang w:eastAsia="de-DE"/>
          <w14:ligatures w14:val="none"/>
        </w:rPr>
        <w:t>befristet</w:t>
      </w:r>
      <w:r w:rsidRPr="00233AC8">
        <w:rPr>
          <w:rFonts w:eastAsia="Times New Roman" w:cs="Arial"/>
          <w:kern w:val="0"/>
          <w:lang w:eastAsia="de-DE"/>
          <w14:ligatures w14:val="none"/>
        </w:rPr>
        <w:t xml:space="preserve"> bis zum </w:t>
      </w:r>
      <w:r w:rsidRPr="00233AC8">
        <w:rPr>
          <w:rFonts w:eastAsia="Times New Roman" w:cs="Arial"/>
          <w:b/>
          <w:bCs/>
          <w:kern w:val="0"/>
          <w:lang w:eastAsia="de-DE"/>
          <w14:ligatures w14:val="none"/>
        </w:rPr>
        <w:t>31.12.2025</w:t>
      </w:r>
      <w:r w:rsidRPr="00233AC8">
        <w:rPr>
          <w:rFonts w:eastAsia="Times New Roman" w:cs="Arial"/>
          <w:kern w:val="0"/>
          <w:lang w:eastAsia="de-DE"/>
          <w14:ligatures w14:val="none"/>
        </w:rPr>
        <w:t xml:space="preserve">. Dies muss man bei der zukünftigen Antragstellung insofern </w:t>
      </w:r>
      <w:r w:rsidRPr="00233AC8">
        <w:rPr>
          <w:rFonts w:eastAsia="Times New Roman" w:cs="Arial"/>
          <w:kern w:val="0"/>
          <w:u w:val="single"/>
          <w:lang w:eastAsia="de-DE"/>
          <w14:ligatures w14:val="none"/>
        </w:rPr>
        <w:t>beachten, dass die Aufenthaltserlaubnis nach § 104c bis zum 31.12.2025 auch tatsächlich erteilt sein muss und ein Antrag etwa am 30.12.2025 alleine nicht ausreicht</w:t>
      </w:r>
      <w:r w:rsidRPr="00233AC8">
        <w:rPr>
          <w:rFonts w:eastAsia="Times New Roman" w:cs="Arial"/>
          <w:kern w:val="0"/>
          <w:lang w:eastAsia="de-DE"/>
          <w14:ligatures w14:val="none"/>
        </w:rPr>
        <w:t xml:space="preserve">, da eine Übergangsregelung fehlt. </w:t>
      </w:r>
      <w:r w:rsidR="00145CFE">
        <w:rPr>
          <w:rFonts w:eastAsia="Times New Roman" w:cs="Arial"/>
          <w:kern w:val="0"/>
          <w:lang w:eastAsia="de-DE"/>
          <w14:ligatures w14:val="none"/>
        </w:rPr>
        <w:t xml:space="preserve"> – Andererseits muss der Antrag nicht sofort gestellt werden. In machen Fällen könnte es sinnvoll sein, ihn erst dann zu stellen, wenn absehbar ist, dass die Voraussetzungen auch wirklich erfüllt werden können und gleichzeitig keine Abschiebungsgefahr vorliegt (z. B. Syrer, Afghanen oder z. Zt. auch z. T. Iraker).</w:t>
      </w:r>
    </w:p>
    <w:p w14:paraId="3A6E2D6D" w14:textId="79BA6377" w:rsidR="00682A45" w:rsidRPr="00233AC8" w:rsidRDefault="00682A45" w:rsidP="00682A45">
      <w:pPr>
        <w:spacing w:before="120" w:after="100" w:afterAutospacing="1"/>
        <w:rPr>
          <w:rFonts w:eastAsia="Times New Roman" w:cs="Arial"/>
          <w:kern w:val="0"/>
          <w:lang w:val="fr-FR" w:eastAsia="de-DE"/>
          <w14:ligatures w14:val="none"/>
        </w:rPr>
      </w:pPr>
      <w:proofErr w:type="gramStart"/>
      <w:r w:rsidRPr="00682A45">
        <w:rPr>
          <w:rFonts w:eastAsia="Times New Roman" w:cs="Arial"/>
          <w:kern w:val="0"/>
          <w:lang w:val="fr-FR" w:eastAsia="de-DE"/>
          <w14:ligatures w14:val="none"/>
        </w:rPr>
        <w:lastRenderedPageBreak/>
        <w:t>Quelle:</w:t>
      </w:r>
      <w:proofErr w:type="gramEnd"/>
      <w:r w:rsidRPr="00682A45">
        <w:rPr>
          <w:rFonts w:eastAsia="Times New Roman" w:cs="Arial"/>
          <w:kern w:val="0"/>
          <w:lang w:val="fr-FR" w:eastAsia="de-DE"/>
          <w14:ligatures w14:val="none"/>
        </w:rPr>
        <w:t xml:space="preserve"> </w:t>
      </w:r>
      <w:r w:rsidRPr="00682A45">
        <w:rPr>
          <w:rFonts w:eastAsia="Times New Roman" w:cs="Arial"/>
          <w:kern w:val="0"/>
          <w:lang w:val="fr-FR" w:eastAsia="de-DE"/>
          <w14:ligatures w14:val="none"/>
        </w:rPr>
        <w:t>https://berlin-hilft.com/2023/01/20/chancen-aufenthalt-alle-infos-details-zu-104c-aufenthg/</w:t>
      </w:r>
    </w:p>
    <w:p w14:paraId="46B0B0BB" w14:textId="4FAF0405" w:rsidR="009A0C2D" w:rsidRDefault="00233AC8">
      <w:pPr>
        <w:rPr>
          <w:rFonts w:cs="Arial"/>
        </w:rPr>
      </w:pPr>
      <w:r>
        <w:rPr>
          <w:noProof/>
        </w:rPr>
        <w:drawing>
          <wp:inline distT="0" distB="0" distL="0" distR="0" wp14:anchorId="44CD6A70" wp14:editId="2F0D6E4B">
            <wp:extent cx="5760720" cy="4091940"/>
            <wp:effectExtent l="0" t="0" r="0" b="3810"/>
            <wp:docPr id="20656779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91940"/>
                    </a:xfrm>
                    <a:prstGeom prst="rect">
                      <a:avLst/>
                    </a:prstGeom>
                    <a:noFill/>
                    <a:ln>
                      <a:noFill/>
                    </a:ln>
                  </pic:spPr>
                </pic:pic>
              </a:graphicData>
            </a:graphic>
          </wp:inline>
        </w:drawing>
      </w:r>
    </w:p>
    <w:p w14:paraId="1624C908" w14:textId="77777777" w:rsidR="00CC59F0" w:rsidRDefault="00CC59F0">
      <w:pPr>
        <w:rPr>
          <w:rFonts w:cs="Arial"/>
        </w:rPr>
      </w:pPr>
    </w:p>
    <w:p w14:paraId="04AC3C95" w14:textId="77777777" w:rsidR="00CC59F0" w:rsidRDefault="00CC59F0">
      <w:pPr>
        <w:rPr>
          <w:rFonts w:cs="Arial"/>
        </w:rPr>
      </w:pPr>
    </w:p>
    <w:p w14:paraId="104DB149" w14:textId="77777777" w:rsidR="00CC59F0" w:rsidRDefault="00CC59F0">
      <w:pPr>
        <w:rPr>
          <w:rFonts w:cs="Arial"/>
        </w:rPr>
      </w:pPr>
    </w:p>
    <w:p w14:paraId="4362DC7A" w14:textId="12A21DF5" w:rsidR="00CC59F0" w:rsidRPr="00043BCF" w:rsidRDefault="00CC59F0">
      <w:pPr>
        <w:rPr>
          <w:rFonts w:cs="Arial"/>
          <w:b/>
          <w:bCs/>
          <w:sz w:val="28"/>
          <w:szCs w:val="28"/>
        </w:rPr>
      </w:pPr>
      <w:r w:rsidRPr="00043BCF">
        <w:rPr>
          <w:rFonts w:cs="Arial"/>
          <w:b/>
          <w:bCs/>
          <w:sz w:val="28"/>
          <w:szCs w:val="28"/>
        </w:rPr>
        <w:t>Der Wechsel zu</w:t>
      </w:r>
      <w:r w:rsidR="00043BCF">
        <w:rPr>
          <w:rFonts w:cs="Arial"/>
          <w:b/>
          <w:bCs/>
          <w:sz w:val="28"/>
          <w:szCs w:val="28"/>
        </w:rPr>
        <w:t>m</w:t>
      </w:r>
      <w:r w:rsidRPr="00043BCF">
        <w:rPr>
          <w:rFonts w:cs="Arial"/>
          <w:b/>
          <w:bCs/>
          <w:sz w:val="28"/>
          <w:szCs w:val="28"/>
        </w:rPr>
        <w:t xml:space="preserve"> Aufenthaltstitel gem</w:t>
      </w:r>
      <w:r w:rsidR="00043BCF">
        <w:rPr>
          <w:rFonts w:cs="Arial"/>
          <w:b/>
          <w:bCs/>
          <w:sz w:val="28"/>
          <w:szCs w:val="28"/>
        </w:rPr>
        <w:t>.</w:t>
      </w:r>
      <w:r w:rsidRPr="00043BCF">
        <w:rPr>
          <w:rFonts w:cs="Arial"/>
          <w:b/>
          <w:bCs/>
          <w:sz w:val="28"/>
          <w:szCs w:val="28"/>
        </w:rPr>
        <w:t xml:space="preserve"> § 25 a oder 25 b AufenthG</w:t>
      </w:r>
    </w:p>
    <w:p w14:paraId="6F995EE1" w14:textId="77777777" w:rsidR="00CC59F0" w:rsidRDefault="00CC59F0">
      <w:pPr>
        <w:rPr>
          <w:rFonts w:cs="Arial"/>
        </w:rPr>
      </w:pPr>
    </w:p>
    <w:p w14:paraId="619AEC8B" w14:textId="4AB96180" w:rsidR="00CC59F0" w:rsidRDefault="00CC59F0">
      <w:pPr>
        <w:rPr>
          <w:rFonts w:cs="Arial"/>
        </w:rPr>
      </w:pPr>
      <w:r>
        <w:rPr>
          <w:rFonts w:cs="Arial"/>
        </w:rPr>
        <w:t>Spätesten zum Ablauf der 18 Monate müssen folgende Voraussetzungen erfüllt sein:</w:t>
      </w:r>
    </w:p>
    <w:p w14:paraId="5501622E" w14:textId="03DD0C5F" w:rsidR="00CC59F0" w:rsidRDefault="00CC59F0" w:rsidP="00043BCF">
      <w:pPr>
        <w:pStyle w:val="Listenabsatz"/>
        <w:numPr>
          <w:ilvl w:val="0"/>
          <w:numId w:val="3"/>
        </w:numPr>
        <w:spacing w:before="120"/>
        <w:ind w:left="714" w:hanging="357"/>
        <w:contextualSpacing w:val="0"/>
        <w:rPr>
          <w:rFonts w:cs="Arial"/>
        </w:rPr>
      </w:pPr>
      <w:r w:rsidRPr="00043BCF">
        <w:rPr>
          <w:rFonts w:cs="Arial"/>
          <w:b/>
          <w:bCs/>
        </w:rPr>
        <w:t>Bekenntnis zur freiheitlich-demokratischen Grundordnung</w:t>
      </w:r>
      <w:r>
        <w:rPr>
          <w:rFonts w:cs="Arial"/>
        </w:rPr>
        <w:t xml:space="preserve"> durch Unterschrift unter eine entsprechende Erklärung (Achtung: die Erklärung muss verstanden werden, wesentliche Inhalte müssen bekannt sein!)</w:t>
      </w:r>
    </w:p>
    <w:p w14:paraId="1FBDD328" w14:textId="72CD1775" w:rsidR="00CC59F0" w:rsidRDefault="00CC59F0" w:rsidP="00043BCF">
      <w:pPr>
        <w:pStyle w:val="Listenabsatz"/>
        <w:numPr>
          <w:ilvl w:val="0"/>
          <w:numId w:val="3"/>
        </w:numPr>
        <w:spacing w:before="120"/>
        <w:ind w:left="714" w:hanging="357"/>
        <w:contextualSpacing w:val="0"/>
        <w:rPr>
          <w:rFonts w:cs="Arial"/>
        </w:rPr>
      </w:pPr>
      <w:r>
        <w:rPr>
          <w:rFonts w:cs="Arial"/>
        </w:rPr>
        <w:t xml:space="preserve">Nachweis von </w:t>
      </w:r>
      <w:r w:rsidRPr="00043BCF">
        <w:rPr>
          <w:rFonts w:cs="Arial"/>
          <w:b/>
          <w:bCs/>
        </w:rPr>
        <w:t>Grundkenntnissen über die Rechts- und Gesellschaftsordnung</w:t>
      </w:r>
      <w:r>
        <w:rPr>
          <w:rFonts w:cs="Arial"/>
        </w:rPr>
        <w:t xml:space="preserve"> sowie die Lebensverhältnisse in der Bundesrepublik (Nachweis erfolgt durch deutschen Schul-, Ausbildungs- oder Studienabschluss oder bestandenen Test „Leben in Deutschland“)</w:t>
      </w:r>
    </w:p>
    <w:p w14:paraId="2F3B78ED" w14:textId="65B895B7" w:rsidR="00CC59F0" w:rsidRDefault="00CC59F0" w:rsidP="00043BCF">
      <w:pPr>
        <w:pStyle w:val="Listenabsatz"/>
        <w:numPr>
          <w:ilvl w:val="0"/>
          <w:numId w:val="3"/>
        </w:numPr>
        <w:spacing w:before="120"/>
        <w:ind w:left="714" w:hanging="357"/>
        <w:contextualSpacing w:val="0"/>
        <w:rPr>
          <w:rFonts w:cs="Arial"/>
        </w:rPr>
      </w:pPr>
      <w:r w:rsidRPr="004C0B06">
        <w:rPr>
          <w:rFonts w:cs="Arial"/>
        </w:rPr>
        <w:t xml:space="preserve">hinreichende </w:t>
      </w:r>
      <w:r w:rsidRPr="00043BCF">
        <w:rPr>
          <w:rFonts w:cs="Arial"/>
          <w:b/>
          <w:bCs/>
        </w:rPr>
        <w:t>mündliche Deutschkenntnisse auf Niveau A 2</w:t>
      </w:r>
      <w:r w:rsidRPr="004C0B06">
        <w:rPr>
          <w:rFonts w:cs="Arial"/>
        </w:rPr>
        <w:t xml:space="preserve"> (Nachweis durch Sprachzertifikat</w:t>
      </w:r>
      <w:r w:rsidR="004C0B06" w:rsidRPr="004C0B06">
        <w:rPr>
          <w:rFonts w:cs="Arial"/>
        </w:rPr>
        <w:t xml:space="preserve"> des </w:t>
      </w:r>
      <w:r w:rsidR="004C0B06" w:rsidRPr="004C0B06">
        <w:rPr>
          <w:rFonts w:cs="Arial"/>
        </w:rPr>
        <w:t>Goethe-Instituts, des Test-DaF-</w:t>
      </w:r>
      <w:proofErr w:type="spellStart"/>
      <w:r w:rsidR="004C0B06" w:rsidRPr="004C0B06">
        <w:rPr>
          <w:rFonts w:cs="Arial"/>
        </w:rPr>
        <w:t>lnstituts</w:t>
      </w:r>
      <w:proofErr w:type="spellEnd"/>
      <w:r w:rsidR="004C0B06" w:rsidRPr="004C0B06">
        <w:rPr>
          <w:rFonts w:cs="Arial"/>
        </w:rPr>
        <w:t xml:space="preserve"> </w:t>
      </w:r>
      <w:r w:rsidR="004C0B06">
        <w:rPr>
          <w:rFonts w:cs="Arial"/>
        </w:rPr>
        <w:t>bzw.</w:t>
      </w:r>
      <w:r w:rsidR="004C0B06" w:rsidRPr="004C0B06">
        <w:rPr>
          <w:rFonts w:cs="Arial"/>
        </w:rPr>
        <w:t xml:space="preserve"> der </w:t>
      </w:r>
      <w:proofErr w:type="spellStart"/>
      <w:r w:rsidR="004C0B06" w:rsidRPr="004C0B06">
        <w:rPr>
          <w:rFonts w:cs="Arial"/>
        </w:rPr>
        <w:t>telc</w:t>
      </w:r>
      <w:proofErr w:type="spellEnd"/>
      <w:r w:rsidR="004C0B06" w:rsidRPr="004C0B06">
        <w:rPr>
          <w:rFonts w:cs="Arial"/>
        </w:rPr>
        <w:t xml:space="preserve"> gGmbH</w:t>
      </w:r>
      <w:r w:rsidRPr="004C0B06">
        <w:rPr>
          <w:rFonts w:cs="Arial"/>
        </w:rPr>
        <w:t xml:space="preserve"> </w:t>
      </w:r>
      <w:r w:rsidRPr="004C0B06">
        <w:rPr>
          <w:rFonts w:cs="Arial"/>
          <w:u w:val="single"/>
        </w:rPr>
        <w:t>oder</w:t>
      </w:r>
      <w:r w:rsidRPr="004C0B06">
        <w:rPr>
          <w:rFonts w:cs="Arial"/>
        </w:rPr>
        <w:t xml:space="preserve"> 4-jährigen Besuch einer deutschsprachigen Schule mit Versetzung in die nächste Klasse </w:t>
      </w:r>
      <w:r w:rsidRPr="004C0B06">
        <w:rPr>
          <w:rFonts w:cs="Arial"/>
          <w:u w:val="single"/>
        </w:rPr>
        <w:t>oder</w:t>
      </w:r>
      <w:r w:rsidRPr="004C0B06">
        <w:rPr>
          <w:rFonts w:cs="Arial"/>
        </w:rPr>
        <w:t xml:space="preserve"> Versetzung nach Klasse 10 oder Abschlusszeugnis einer allgemeinbildenden Schule - Hauptschul-/Realschulabschluss, Abitur - </w:t>
      </w:r>
      <w:r w:rsidRPr="004C0B06">
        <w:rPr>
          <w:rFonts w:cs="Arial"/>
          <w:u w:val="single"/>
        </w:rPr>
        <w:t>oder</w:t>
      </w:r>
      <w:r w:rsidRPr="004C0B06">
        <w:rPr>
          <w:rFonts w:cs="Arial"/>
        </w:rPr>
        <w:t xml:space="preserve"> Abschluss einer deutschen Berufsausbildung bzw. eines Studiums in Deutschland </w:t>
      </w:r>
      <w:r w:rsidRPr="004C0B06">
        <w:rPr>
          <w:rFonts w:cs="Arial"/>
          <w:u w:val="single"/>
        </w:rPr>
        <w:t>oder</w:t>
      </w:r>
      <w:r w:rsidRPr="004C0B06">
        <w:rPr>
          <w:rFonts w:cs="Arial"/>
        </w:rPr>
        <w:t xml:space="preserve"> Nachweis durch Gespräch in der Ausländerbehörde mit dortigen Bediensteten)</w:t>
      </w:r>
      <w:r w:rsidR="004C0B06" w:rsidRPr="004C0B06">
        <w:rPr>
          <w:rFonts w:cs="Arial"/>
        </w:rPr>
        <w:t>. Für Kinder bis zum vollendeten 16. Lebensjahr reicht die Vorlage des letzten Schulzeugnisses einer deutschen Schule bzw. der Nachweis des Kita-Besuchs aus.</w:t>
      </w:r>
    </w:p>
    <w:p w14:paraId="073F56AF" w14:textId="4923BECD" w:rsidR="00670888" w:rsidRPr="004C0B06" w:rsidRDefault="00670888" w:rsidP="00043BCF">
      <w:pPr>
        <w:pStyle w:val="Listenabsatz"/>
        <w:numPr>
          <w:ilvl w:val="0"/>
          <w:numId w:val="3"/>
        </w:numPr>
        <w:spacing w:before="120"/>
        <w:ind w:left="714" w:hanging="357"/>
        <w:contextualSpacing w:val="0"/>
        <w:rPr>
          <w:rFonts w:cs="Arial"/>
        </w:rPr>
      </w:pPr>
      <w:r>
        <w:rPr>
          <w:rFonts w:cs="Arial"/>
        </w:rPr>
        <w:t xml:space="preserve">ggf.: Nachweis des regelmäßigen </w:t>
      </w:r>
      <w:r w:rsidRPr="00670888">
        <w:rPr>
          <w:rFonts w:cs="Arial"/>
          <w:u w:val="single"/>
        </w:rPr>
        <w:t>tatsächlichen</w:t>
      </w:r>
      <w:r>
        <w:rPr>
          <w:rFonts w:cs="Arial"/>
        </w:rPr>
        <w:t xml:space="preserve"> </w:t>
      </w:r>
      <w:r w:rsidRPr="00043BCF">
        <w:rPr>
          <w:rFonts w:cs="Arial"/>
          <w:b/>
          <w:bCs/>
        </w:rPr>
        <w:t>Schulbesuchs der Kinder</w:t>
      </w:r>
      <w:r>
        <w:rPr>
          <w:rFonts w:cs="Arial"/>
        </w:rPr>
        <w:t xml:space="preserve"> (d. h. wenige Fehltage!)</w:t>
      </w:r>
    </w:p>
    <w:p w14:paraId="1BDDC5E3" w14:textId="6B697A0A" w:rsidR="00CC59F0" w:rsidRPr="00D51054" w:rsidRDefault="00043BCF" w:rsidP="00043BCF">
      <w:pPr>
        <w:pStyle w:val="Listenabsatz"/>
        <w:numPr>
          <w:ilvl w:val="0"/>
          <w:numId w:val="3"/>
        </w:numPr>
        <w:spacing w:before="120"/>
        <w:ind w:left="714" w:hanging="357"/>
        <w:contextualSpacing w:val="0"/>
        <w:rPr>
          <w:rFonts w:cs="Arial"/>
        </w:rPr>
      </w:pPr>
      <w:r w:rsidRPr="00043BCF">
        <w:rPr>
          <w:rFonts w:cs="Arial"/>
          <w:b/>
          <w:bCs/>
        </w:rPr>
        <w:lastRenderedPageBreak/>
        <w:t xml:space="preserve">überwiegende (!) </w:t>
      </w:r>
      <w:r w:rsidR="00CC59F0" w:rsidRPr="00043BCF">
        <w:rPr>
          <w:rFonts w:cs="Arial"/>
          <w:b/>
          <w:bCs/>
        </w:rPr>
        <w:t>Sicherung des Lebensunterhalts</w:t>
      </w:r>
      <w:r w:rsidR="00045FB0" w:rsidRPr="00043BCF">
        <w:rPr>
          <w:rFonts w:cs="Arial"/>
          <w:b/>
          <w:bCs/>
        </w:rPr>
        <w:t xml:space="preserve"> einschl. Miete</w:t>
      </w:r>
      <w:r w:rsidR="00CC59F0" w:rsidRPr="00D51054">
        <w:rPr>
          <w:rFonts w:cs="Arial"/>
        </w:rPr>
        <w:t xml:space="preserve"> </w:t>
      </w:r>
      <w:r w:rsidR="00996119" w:rsidRPr="00043BCF">
        <w:rPr>
          <w:rFonts w:cs="Arial"/>
        </w:rPr>
        <w:t>(d. h. mehr als 50%)</w:t>
      </w:r>
      <w:r w:rsidR="00D51054" w:rsidRPr="00043BCF">
        <w:rPr>
          <w:rFonts w:cs="Arial"/>
        </w:rPr>
        <w:t xml:space="preserve"> </w:t>
      </w:r>
      <w:r w:rsidR="00CC59F0" w:rsidRPr="00D51054">
        <w:rPr>
          <w:rFonts w:cs="Arial"/>
        </w:rPr>
        <w:t>durch eigenes Einkommen</w:t>
      </w:r>
      <w:r w:rsidR="00996119">
        <w:rPr>
          <w:rFonts w:cs="Arial"/>
        </w:rPr>
        <w:t xml:space="preserve"> jetzt und mit überwiegender Wahrscheinlichkeit </w:t>
      </w:r>
      <w:r w:rsidR="00996119" w:rsidRPr="00043BCF">
        <w:rPr>
          <w:rFonts w:cs="Arial"/>
          <w:u w:val="single"/>
        </w:rPr>
        <w:t>auch in der Zukunft</w:t>
      </w:r>
      <w:r w:rsidR="00996119">
        <w:rPr>
          <w:rFonts w:cs="Arial"/>
        </w:rPr>
        <w:t xml:space="preserve"> (!)</w:t>
      </w:r>
      <w:r w:rsidR="00D51054">
        <w:rPr>
          <w:rFonts w:cs="Arial"/>
        </w:rPr>
        <w:t xml:space="preserve">, </w:t>
      </w:r>
      <w:r w:rsidR="00D51054" w:rsidRPr="00D51054">
        <w:rPr>
          <w:rFonts w:cs="Arial"/>
        </w:rPr>
        <w:t xml:space="preserve">d. h. </w:t>
      </w:r>
      <w:r w:rsidR="00D51054" w:rsidRPr="00D51054">
        <w:rPr>
          <w:rFonts w:cs="Arial"/>
        </w:rPr>
        <w:t>mehr</w:t>
      </w:r>
      <w:r w:rsidR="00D51054">
        <w:rPr>
          <w:rFonts w:cs="Arial"/>
        </w:rPr>
        <w:t xml:space="preserve"> </w:t>
      </w:r>
      <w:r w:rsidR="00D51054" w:rsidRPr="00D51054">
        <w:rPr>
          <w:rFonts w:cs="Arial"/>
        </w:rPr>
        <w:t xml:space="preserve">als die Hälfte des Einkommens </w:t>
      </w:r>
      <w:r w:rsidR="00D51054">
        <w:rPr>
          <w:rFonts w:cs="Arial"/>
        </w:rPr>
        <w:t>der</w:t>
      </w:r>
      <w:r w:rsidR="00D51054" w:rsidRPr="00D51054">
        <w:rPr>
          <w:rFonts w:cs="Arial"/>
        </w:rPr>
        <w:t xml:space="preserve"> Bedarfsgemeinschaft </w:t>
      </w:r>
      <w:r w:rsidR="00D51054">
        <w:rPr>
          <w:rFonts w:cs="Arial"/>
        </w:rPr>
        <w:t xml:space="preserve">muss </w:t>
      </w:r>
      <w:r w:rsidR="00D51054" w:rsidRPr="00D51054">
        <w:rPr>
          <w:rFonts w:cs="Arial"/>
        </w:rPr>
        <w:t>aus einer Erwerbstätigkeit</w:t>
      </w:r>
      <w:r w:rsidR="00D51054">
        <w:rPr>
          <w:rFonts w:cs="Arial"/>
        </w:rPr>
        <w:t xml:space="preserve"> stammen</w:t>
      </w:r>
      <w:r w:rsidR="00996119">
        <w:rPr>
          <w:rFonts w:cs="Arial"/>
        </w:rPr>
        <w:t xml:space="preserve"> oder aus Leistungen, für die man selbst oder Mitglieder der eigenen Bedarfsgemeinschaft zuvor Beiträge gezahlt haben (z. B. </w:t>
      </w:r>
      <w:proofErr w:type="gramStart"/>
      <w:r w:rsidR="00996119">
        <w:rPr>
          <w:rFonts w:cs="Arial"/>
        </w:rPr>
        <w:t>ALG I</w:t>
      </w:r>
      <w:proofErr w:type="gramEnd"/>
      <w:r w:rsidR="00996119">
        <w:rPr>
          <w:rFonts w:cs="Arial"/>
        </w:rPr>
        <w:t xml:space="preserve">, Alters- oder Erwerbsunfähigkeitsrente). </w:t>
      </w:r>
      <w:r w:rsidR="00996119" w:rsidRPr="00043BCF">
        <w:rPr>
          <w:rFonts w:cs="Arial"/>
          <w:u w:val="single"/>
        </w:rPr>
        <w:t>Kindergeld</w:t>
      </w:r>
      <w:r w:rsidR="00996119">
        <w:rPr>
          <w:rFonts w:cs="Arial"/>
        </w:rPr>
        <w:t xml:space="preserve"> als staatliche familienentlastende Maßnahme zählt ebenfalls als Erwerbseinkommen. </w:t>
      </w:r>
      <w:r w:rsidR="00D51054" w:rsidRPr="00043BCF">
        <w:rPr>
          <w:rFonts w:cs="Arial"/>
          <w:u w:val="single"/>
        </w:rPr>
        <w:t>Wohngeldbezug</w:t>
      </w:r>
      <w:r w:rsidR="00D51054" w:rsidRPr="00D51054">
        <w:rPr>
          <w:rFonts w:cs="Arial"/>
        </w:rPr>
        <w:t xml:space="preserve"> </w:t>
      </w:r>
      <w:r w:rsidR="00D51054">
        <w:rPr>
          <w:rFonts w:cs="Arial"/>
        </w:rPr>
        <w:t xml:space="preserve">ist </w:t>
      </w:r>
      <w:r w:rsidR="00D51054" w:rsidRPr="00D51054">
        <w:rPr>
          <w:rFonts w:cs="Arial"/>
        </w:rPr>
        <w:t>unschädlich</w:t>
      </w:r>
      <w:r w:rsidR="007610C2">
        <w:rPr>
          <w:rFonts w:cs="Arial"/>
        </w:rPr>
        <w:t xml:space="preserve">, </w:t>
      </w:r>
      <w:r w:rsidR="00996119">
        <w:rPr>
          <w:rFonts w:cs="Arial"/>
        </w:rPr>
        <w:t>wird</w:t>
      </w:r>
      <w:r w:rsidR="007610C2">
        <w:rPr>
          <w:rFonts w:cs="Arial"/>
        </w:rPr>
        <w:t xml:space="preserve"> aber bei der Ermittlung der Höhe des „eigenen Einkommens“ nicht mit</w:t>
      </w:r>
      <w:r w:rsidR="00996119">
        <w:rPr>
          <w:rFonts w:cs="Arial"/>
        </w:rPr>
        <w:t xml:space="preserve">gerechnet. </w:t>
      </w:r>
      <w:r w:rsidR="00996119" w:rsidRPr="00043BCF">
        <w:rPr>
          <w:rFonts w:cs="Arial"/>
          <w:u w:val="single"/>
        </w:rPr>
        <w:t>Bürgergeld</w:t>
      </w:r>
      <w:r w:rsidR="00996119">
        <w:rPr>
          <w:rFonts w:cs="Arial"/>
        </w:rPr>
        <w:t xml:space="preserve"> zählt ebenfalls </w:t>
      </w:r>
      <w:r w:rsidR="00996119" w:rsidRPr="00043BCF">
        <w:rPr>
          <w:rFonts w:cs="Arial"/>
          <w:u w:val="single"/>
        </w:rPr>
        <w:t>nicht</w:t>
      </w:r>
      <w:r w:rsidR="00996119">
        <w:rPr>
          <w:rFonts w:cs="Arial"/>
        </w:rPr>
        <w:t xml:space="preserve"> als Einkommen!</w:t>
      </w:r>
      <w:r w:rsidR="00BA240E">
        <w:rPr>
          <w:rFonts w:cs="Arial"/>
        </w:rPr>
        <w:t xml:space="preserve"> </w:t>
      </w:r>
      <w:r w:rsidR="00BA240E" w:rsidRPr="00043BCF">
        <w:rPr>
          <w:rFonts w:cs="Arial"/>
          <w:u w:val="single"/>
        </w:rPr>
        <w:t>Ausnahmen</w:t>
      </w:r>
      <w:r w:rsidR="00BA240E">
        <w:rPr>
          <w:rFonts w:cs="Arial"/>
        </w:rPr>
        <w:t xml:space="preserve"> vom Erfordernis der überwiegenden Lebensunterhaltssicherung: für Studenten, Azubis in anerkannten Ausbildungsberufen oder in staatlich geförderten Berufsvorbereitungsmaßnahmen, Familien mit minderjährigen Kindern, welche vorübergehend auf Sozialleistungen angewiesen sind, pflegende Angehörige, Bezieher von Erwerbsunfähigkeitsrente oder Menschen, die ihren Lebensunterhalt wegen einer körperlichen, geistigen oder seelischen Krankheit bzw. Behinderung nicht selbst sicherstellen können (</w:t>
      </w:r>
      <w:r>
        <w:rPr>
          <w:rFonts w:cs="Arial"/>
        </w:rPr>
        <w:t>o</w:t>
      </w:r>
      <w:r w:rsidR="00BA240E">
        <w:rPr>
          <w:rFonts w:cs="Arial"/>
        </w:rPr>
        <w:t>ffiziell anerkanntes Attest o.ä. nötig, z. B. Medizinischer Dienst der Agentur f. Arbeit, Gesundheitsamt etc.).</w:t>
      </w:r>
      <w:r w:rsidR="007A5A71">
        <w:rPr>
          <w:rFonts w:cs="Arial"/>
        </w:rPr>
        <w:br/>
        <w:t xml:space="preserve">Wer unter 27 Jahre alt ist </w:t>
      </w:r>
      <w:r w:rsidR="007A5A71" w:rsidRPr="007A5A71">
        <w:rPr>
          <w:rFonts w:cs="Arial"/>
          <w:u w:val="single"/>
        </w:rPr>
        <w:t>und</w:t>
      </w:r>
      <w:r w:rsidR="007A5A71">
        <w:rPr>
          <w:rFonts w:cs="Arial"/>
        </w:rPr>
        <w:t xml:space="preserve"> sich noch in einer Schul- oder Berufsausbildung bzw. im Studium befindet muss die überwiegende Lebensunterhaltssicherung noch nicht nachweisen.</w:t>
      </w:r>
    </w:p>
    <w:p w14:paraId="556C8C2F" w14:textId="37197439" w:rsidR="00CC59F0" w:rsidRDefault="00043BCF" w:rsidP="00043BCF">
      <w:pPr>
        <w:pStyle w:val="Listenabsatz"/>
        <w:numPr>
          <w:ilvl w:val="0"/>
          <w:numId w:val="3"/>
        </w:numPr>
        <w:spacing w:before="120"/>
        <w:ind w:left="714" w:hanging="357"/>
        <w:contextualSpacing w:val="0"/>
        <w:rPr>
          <w:rFonts w:cs="Arial"/>
        </w:rPr>
      </w:pPr>
      <w:r w:rsidRPr="00043BCF">
        <w:rPr>
          <w:rFonts w:cs="Arial"/>
          <w:b/>
          <w:bCs/>
        </w:rPr>
        <w:t>Erfüllung der Passpflicht</w:t>
      </w:r>
      <w:r w:rsidR="003751D7">
        <w:rPr>
          <w:rFonts w:cs="Arial"/>
          <w:b/>
          <w:bCs/>
        </w:rPr>
        <w:t xml:space="preserve">: </w:t>
      </w:r>
      <w:r w:rsidR="003751D7" w:rsidRPr="003751D7">
        <w:rPr>
          <w:rFonts w:cs="Arial"/>
        </w:rPr>
        <w:t xml:space="preserve">Sobald ein </w:t>
      </w:r>
      <w:r w:rsidR="00AE53B5">
        <w:rPr>
          <w:rFonts w:cs="Arial"/>
        </w:rPr>
        <w:t>(</w:t>
      </w:r>
      <w:r w:rsidR="003751D7" w:rsidRPr="003751D7">
        <w:rPr>
          <w:rFonts w:cs="Arial"/>
        </w:rPr>
        <w:t>neuer</w:t>
      </w:r>
      <w:r w:rsidR="00AE53B5">
        <w:rPr>
          <w:rFonts w:cs="Arial"/>
        </w:rPr>
        <w:t>)</w:t>
      </w:r>
      <w:r w:rsidR="003751D7" w:rsidRPr="003751D7">
        <w:rPr>
          <w:rFonts w:cs="Arial"/>
        </w:rPr>
        <w:t xml:space="preserve"> Pass vorhanden ist, muss dieser der Ausländerbehörde unverzüglich vorgelegt werden – auch wenn aktuell (noch) kein neuer Aufenthaltstitel nach § 25 a oder b beantragt werden soll bzw. kann</w:t>
      </w:r>
    </w:p>
    <w:p w14:paraId="478668B8" w14:textId="3ED25B12" w:rsidR="007A5A71" w:rsidRDefault="007A5A71" w:rsidP="00043BCF">
      <w:pPr>
        <w:pStyle w:val="Listenabsatz"/>
        <w:numPr>
          <w:ilvl w:val="0"/>
          <w:numId w:val="3"/>
        </w:numPr>
        <w:spacing w:before="120"/>
        <w:ind w:left="714" w:hanging="357"/>
        <w:contextualSpacing w:val="0"/>
        <w:rPr>
          <w:rFonts w:cs="Arial"/>
        </w:rPr>
      </w:pPr>
      <w:r>
        <w:rPr>
          <w:rFonts w:cs="Arial"/>
          <w:b/>
          <w:bCs/>
        </w:rPr>
        <w:t>Klärung der Identität:</w:t>
      </w:r>
      <w:r>
        <w:rPr>
          <w:rFonts w:cs="Arial"/>
        </w:rPr>
        <w:t xml:space="preserve"> i.d.R. durch Vorlage des Passes</w:t>
      </w:r>
    </w:p>
    <w:p w14:paraId="41E7C0AC" w14:textId="2BB75F9B" w:rsidR="007A5A71" w:rsidRDefault="007A5A71" w:rsidP="00043BCF">
      <w:pPr>
        <w:pStyle w:val="Listenabsatz"/>
        <w:numPr>
          <w:ilvl w:val="0"/>
          <w:numId w:val="3"/>
        </w:numPr>
        <w:spacing w:before="120"/>
        <w:ind w:left="714" w:hanging="357"/>
        <w:contextualSpacing w:val="0"/>
        <w:rPr>
          <w:rFonts w:cs="Arial"/>
        </w:rPr>
      </w:pPr>
      <w:r>
        <w:rPr>
          <w:rFonts w:cs="Arial"/>
          <w:b/>
          <w:bCs/>
        </w:rPr>
        <w:t xml:space="preserve">keine Sicherheitsbedenken </w:t>
      </w:r>
      <w:r w:rsidRPr="007A5A71">
        <w:rPr>
          <w:rFonts w:cs="Arial"/>
        </w:rPr>
        <w:t>(Ausweisungsinteresse)</w:t>
      </w:r>
    </w:p>
    <w:p w14:paraId="672E3F61" w14:textId="77777777" w:rsidR="007A5A71" w:rsidRPr="00CC56A5" w:rsidRDefault="007A5A71" w:rsidP="00CC56A5">
      <w:pPr>
        <w:spacing w:before="120"/>
        <w:ind w:left="357"/>
        <w:rPr>
          <w:rFonts w:cs="Arial"/>
        </w:rPr>
      </w:pPr>
    </w:p>
    <w:sectPr w:rsidR="007A5A71" w:rsidRPr="00CC56A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3299" w14:textId="77777777" w:rsidR="00357648" w:rsidRDefault="00357648" w:rsidP="002F1654">
      <w:r>
        <w:separator/>
      </w:r>
    </w:p>
  </w:endnote>
  <w:endnote w:type="continuationSeparator" w:id="0">
    <w:p w14:paraId="7C6B2119" w14:textId="77777777" w:rsidR="00357648" w:rsidRDefault="00357648" w:rsidP="002F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873092"/>
      <w:docPartObj>
        <w:docPartGallery w:val="Page Numbers (Bottom of Page)"/>
        <w:docPartUnique/>
      </w:docPartObj>
    </w:sdtPr>
    <w:sdtContent>
      <w:p w14:paraId="5976DB09" w14:textId="0DC184A6" w:rsidR="002F1654" w:rsidRDefault="002F1654">
        <w:pPr>
          <w:pStyle w:val="Fuzeile"/>
          <w:jc w:val="center"/>
        </w:pPr>
        <w:r>
          <w:fldChar w:fldCharType="begin"/>
        </w:r>
        <w:r>
          <w:instrText>PAGE   \* MERGEFORMAT</w:instrText>
        </w:r>
        <w:r>
          <w:fldChar w:fldCharType="separate"/>
        </w:r>
        <w:r>
          <w:t>2</w:t>
        </w:r>
        <w:r>
          <w:fldChar w:fldCharType="end"/>
        </w:r>
      </w:p>
    </w:sdtContent>
  </w:sdt>
  <w:p w14:paraId="41005284" w14:textId="77777777" w:rsidR="002F1654" w:rsidRDefault="002F16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1D43" w14:textId="77777777" w:rsidR="00357648" w:rsidRDefault="00357648" w:rsidP="002F1654">
      <w:r>
        <w:separator/>
      </w:r>
    </w:p>
  </w:footnote>
  <w:footnote w:type="continuationSeparator" w:id="0">
    <w:p w14:paraId="0018A9B3" w14:textId="77777777" w:rsidR="00357648" w:rsidRDefault="00357648" w:rsidP="002F1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764"/>
    <w:multiLevelType w:val="multilevel"/>
    <w:tmpl w:val="7B3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6E2B"/>
    <w:multiLevelType w:val="hybridMultilevel"/>
    <w:tmpl w:val="886C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F15561"/>
    <w:multiLevelType w:val="hybridMultilevel"/>
    <w:tmpl w:val="F0E4FDC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9001234">
    <w:abstractNumId w:val="0"/>
  </w:num>
  <w:num w:numId="2" w16cid:durableId="1395350354">
    <w:abstractNumId w:val="1"/>
  </w:num>
  <w:num w:numId="3" w16cid:durableId="525025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C8"/>
    <w:rsid w:val="00043BCF"/>
    <w:rsid w:val="00045FB0"/>
    <w:rsid w:val="00121C5A"/>
    <w:rsid w:val="00145CFE"/>
    <w:rsid w:val="00233AC8"/>
    <w:rsid w:val="002F1654"/>
    <w:rsid w:val="00357648"/>
    <w:rsid w:val="003751D7"/>
    <w:rsid w:val="003A5BC4"/>
    <w:rsid w:val="004C0B06"/>
    <w:rsid w:val="00670888"/>
    <w:rsid w:val="00682A45"/>
    <w:rsid w:val="007610C2"/>
    <w:rsid w:val="007A5A71"/>
    <w:rsid w:val="00886474"/>
    <w:rsid w:val="008F0B0B"/>
    <w:rsid w:val="00996119"/>
    <w:rsid w:val="009A0C2D"/>
    <w:rsid w:val="00AC1AAC"/>
    <w:rsid w:val="00AE53B5"/>
    <w:rsid w:val="00BA240E"/>
    <w:rsid w:val="00BD6EB5"/>
    <w:rsid w:val="00CC56A5"/>
    <w:rsid w:val="00CC59F0"/>
    <w:rsid w:val="00D51054"/>
    <w:rsid w:val="00D72A66"/>
    <w:rsid w:val="00EE6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1003"/>
  <w15:chartTrackingRefBased/>
  <w15:docId w15:val="{B12E4B01-15D3-4621-8AB3-234198B4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BC4"/>
    <w:pPr>
      <w:spacing w:after="0" w:line="240" w:lineRule="auto"/>
    </w:pPr>
    <w:rPr>
      <w:rFonts w:ascii="Arial" w:hAnsi="Arial"/>
    </w:rPr>
  </w:style>
  <w:style w:type="paragraph" w:styleId="berschrift1">
    <w:name w:val="heading 1"/>
    <w:basedOn w:val="Standard"/>
    <w:link w:val="berschrift1Zchn"/>
    <w:uiPriority w:val="9"/>
    <w:qFormat/>
    <w:rsid w:val="00233AC8"/>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233AC8"/>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3AC8"/>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233AC8"/>
    <w:rPr>
      <w:rFonts w:ascii="Times New Roman" w:eastAsia="Times New Roman" w:hAnsi="Times New Roman" w:cs="Times New Roman"/>
      <w:b/>
      <w:bCs/>
      <w:kern w:val="0"/>
      <w:sz w:val="36"/>
      <w:szCs w:val="36"/>
      <w:lang w:eastAsia="de-DE"/>
      <w14:ligatures w14:val="none"/>
    </w:rPr>
  </w:style>
  <w:style w:type="character" w:styleId="Fett">
    <w:name w:val="Strong"/>
    <w:basedOn w:val="Absatz-Standardschriftart"/>
    <w:uiPriority w:val="22"/>
    <w:qFormat/>
    <w:rsid w:val="00233AC8"/>
    <w:rPr>
      <w:b/>
      <w:bCs/>
    </w:rPr>
  </w:style>
  <w:style w:type="paragraph" w:styleId="StandardWeb">
    <w:name w:val="Normal (Web)"/>
    <w:basedOn w:val="Standard"/>
    <w:uiPriority w:val="99"/>
    <w:semiHidden/>
    <w:unhideWhenUsed/>
    <w:rsid w:val="00233AC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CC59F0"/>
    <w:pPr>
      <w:ind w:left="720"/>
      <w:contextualSpacing/>
    </w:pPr>
  </w:style>
  <w:style w:type="paragraph" w:styleId="Kopfzeile">
    <w:name w:val="header"/>
    <w:basedOn w:val="Standard"/>
    <w:link w:val="KopfzeileZchn"/>
    <w:uiPriority w:val="99"/>
    <w:unhideWhenUsed/>
    <w:rsid w:val="002F1654"/>
    <w:pPr>
      <w:tabs>
        <w:tab w:val="center" w:pos="4536"/>
        <w:tab w:val="right" w:pos="9072"/>
      </w:tabs>
    </w:pPr>
  </w:style>
  <w:style w:type="character" w:customStyle="1" w:styleId="KopfzeileZchn">
    <w:name w:val="Kopfzeile Zchn"/>
    <w:basedOn w:val="Absatz-Standardschriftart"/>
    <w:link w:val="Kopfzeile"/>
    <w:uiPriority w:val="99"/>
    <w:rsid w:val="002F1654"/>
    <w:rPr>
      <w:rFonts w:ascii="Arial" w:hAnsi="Arial"/>
    </w:rPr>
  </w:style>
  <w:style w:type="paragraph" w:styleId="Fuzeile">
    <w:name w:val="footer"/>
    <w:basedOn w:val="Standard"/>
    <w:link w:val="FuzeileZchn"/>
    <w:uiPriority w:val="99"/>
    <w:unhideWhenUsed/>
    <w:rsid w:val="002F1654"/>
    <w:pPr>
      <w:tabs>
        <w:tab w:val="center" w:pos="4536"/>
        <w:tab w:val="right" w:pos="9072"/>
      </w:tabs>
    </w:pPr>
  </w:style>
  <w:style w:type="character" w:customStyle="1" w:styleId="FuzeileZchn">
    <w:name w:val="Fußzeile Zchn"/>
    <w:basedOn w:val="Absatz-Standardschriftart"/>
    <w:link w:val="Fuzeile"/>
    <w:uiPriority w:val="99"/>
    <w:rsid w:val="002F16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 Heter</dc:creator>
  <cp:keywords/>
  <dc:description/>
  <cp:lastModifiedBy>Jeg Heter</cp:lastModifiedBy>
  <cp:revision>19</cp:revision>
  <dcterms:created xsi:type="dcterms:W3CDTF">2023-06-19T14:08:00Z</dcterms:created>
  <dcterms:modified xsi:type="dcterms:W3CDTF">2023-06-19T15:30:00Z</dcterms:modified>
</cp:coreProperties>
</file>